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7F622">
      <w:pPr>
        <w:keepNext w:val="0"/>
        <w:keepLines w:val="0"/>
        <w:pageBreakBefore w:val="0"/>
        <w:kinsoku/>
        <w:wordWrap/>
        <w:overflowPunct/>
        <w:topLinePunct w:val="0"/>
        <w:autoSpaceDE/>
        <w:autoSpaceDN/>
        <w:bidi w:val="0"/>
        <w:adjustRightInd/>
        <w:snapToGrid/>
        <w:spacing w:line="180" w:lineRule="atLeast"/>
        <w:ind w:firstLine="964" w:firstLineChars="300"/>
        <w:jc w:val="both"/>
        <w:textAlignment w:val="auto"/>
        <w:rPr>
          <w:rFonts w:hint="default" w:eastAsia="仿宋"/>
          <w:lang w:val="en-US" w:eastAsia="zh-CN"/>
        </w:rPr>
      </w:pPr>
      <w:r>
        <w:rPr>
          <w:rFonts w:hint="eastAsia" w:ascii="仿宋" w:hAnsi="仿宋" w:eastAsia="仿宋" w:cs="仿宋"/>
          <w:b/>
          <w:sz w:val="32"/>
          <w:szCs w:val="32"/>
          <w:lang w:eastAsia="zh-CN"/>
        </w:rPr>
        <w:t>广东省</w:t>
      </w:r>
      <w:r>
        <w:rPr>
          <w:rFonts w:hint="eastAsia" w:ascii="仿宋" w:hAnsi="仿宋" w:eastAsia="仿宋" w:cs="仿宋"/>
          <w:b/>
          <w:sz w:val="32"/>
          <w:szCs w:val="32"/>
          <w:lang w:val="en-US" w:eastAsia="zh-CN"/>
        </w:rPr>
        <w:t>大</w:t>
      </w:r>
      <w:r>
        <w:rPr>
          <w:rFonts w:hint="eastAsia" w:ascii="仿宋" w:hAnsi="仿宋" w:eastAsia="仿宋" w:cs="仿宋"/>
          <w:b/>
          <w:sz w:val="32"/>
          <w:szCs w:val="32"/>
        </w:rPr>
        <w:t>学生</w:t>
      </w:r>
      <w:r>
        <w:rPr>
          <w:rFonts w:hint="eastAsia" w:ascii="仿宋" w:hAnsi="仿宋" w:eastAsia="仿宋" w:cs="仿宋"/>
          <w:b/>
          <w:sz w:val="32"/>
          <w:szCs w:val="32"/>
          <w:lang w:val="en-US" w:eastAsia="zh-CN"/>
        </w:rPr>
        <w:t>学平险（</w:t>
      </w:r>
      <w:r>
        <w:rPr>
          <w:rFonts w:hint="eastAsia" w:ascii="仿宋" w:hAnsi="仿宋" w:eastAsia="仿宋" w:cs="仿宋"/>
          <w:b/>
          <w:sz w:val="32"/>
          <w:szCs w:val="32"/>
        </w:rPr>
        <w:t>意外伤害附加疾病</w:t>
      </w:r>
      <w:r>
        <w:rPr>
          <w:rFonts w:hint="eastAsia" w:ascii="仿宋" w:hAnsi="仿宋" w:eastAsia="仿宋" w:cs="仿宋"/>
          <w:b/>
          <w:sz w:val="32"/>
          <w:szCs w:val="32"/>
          <w:lang w:eastAsia="zh-CN"/>
        </w:rPr>
        <w:t>住院</w:t>
      </w:r>
      <w:r>
        <w:rPr>
          <w:rFonts w:hint="eastAsia" w:ascii="仿宋" w:hAnsi="仿宋" w:eastAsia="仿宋" w:cs="仿宋"/>
          <w:b/>
          <w:sz w:val="32"/>
          <w:szCs w:val="32"/>
        </w:rPr>
        <w:t>医疗</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方案</w:t>
      </w:r>
    </w:p>
    <w:p w14:paraId="4E452677">
      <w:pPr>
        <w:pStyle w:val="18"/>
        <w:keepNext w:val="0"/>
        <w:keepLines w:val="0"/>
        <w:widowControl/>
        <w:suppressLineNumbers w:val="0"/>
        <w:spacing w:before="0" w:beforeAutospacing="1" w:after="0" w:afterAutospacing="1" w:line="240" w:lineRule="auto"/>
        <w:ind w:left="0" w:right="0"/>
      </w:pPr>
    </w:p>
    <w:p w14:paraId="3D1BCFE6">
      <w:pPr>
        <w:pStyle w:val="18"/>
        <w:keepNext w:val="0"/>
        <w:keepLines w:val="0"/>
        <w:widowControl/>
        <w:suppressLineNumbers w:val="0"/>
        <w:spacing w:before="0" w:beforeAutospacing="1" w:after="0" w:afterAutospacing="1" w:line="240" w:lineRule="auto"/>
        <w:ind w:left="0" w:right="0"/>
        <w:rPr>
          <w:rFonts w:hint="eastAsia" w:eastAsiaTheme="minorEastAsia"/>
          <w:lang w:eastAsia="zh-CN"/>
        </w:rPr>
      </w:pPr>
      <w:r>
        <w:t>各位家长您好</w:t>
      </w:r>
      <w:r>
        <w:rPr>
          <w:rFonts w:hint="eastAsia"/>
          <w:lang w:eastAsia="zh-CN"/>
        </w:rPr>
        <w:t>！</w:t>
      </w:r>
    </w:p>
    <w:p w14:paraId="62985370">
      <w:pPr>
        <w:pStyle w:val="18"/>
        <w:keepNext w:val="0"/>
        <w:keepLines w:val="0"/>
        <w:widowControl/>
        <w:suppressLineNumbers w:val="0"/>
        <w:spacing w:before="0" w:beforeAutospacing="1" w:after="0" w:afterAutospacing="1" w:line="240" w:lineRule="auto"/>
        <w:ind w:left="0" w:right="0" w:firstLine="480" w:firstLineChars="200"/>
      </w:pPr>
      <w:r>
        <w:t>为切实保障学生在校内外的安全和健康，根据《学生伤害处理办法》《广东省学校安全条例》以及珠海市教育局关于完善校园事故风险转移机制的要求，学校积极为学生投保意外险创造便利条件，并大力宣传学生意外险，鼓励家长为孩子投保“广东省学生意外伤害附加疾病住院医疗保险”。这一保险是居民医保的有力补充，保障范围涵盖在校、校外、暑寒假外出游玩、上下学途中意外受伤、溺水及疾病住院等各类风险，全年24小时守护孩子健康安全。只要</w:t>
      </w:r>
      <w:r>
        <w:rPr>
          <w:rFonts w:hint="eastAsia"/>
          <w:lang w:val="en-US" w:eastAsia="zh-CN"/>
        </w:rPr>
        <w:t>是意外</w:t>
      </w:r>
      <w:r>
        <w:t>出险</w:t>
      </w:r>
      <w:r>
        <w:rPr>
          <w:rFonts w:hint="eastAsia"/>
          <w:lang w:val="en-US" w:eastAsia="zh-CN"/>
        </w:rPr>
        <w:t>或住院</w:t>
      </w:r>
      <w:r>
        <w:t>，均可按规定向保险公司申请理赔。</w:t>
      </w:r>
    </w:p>
    <w:p w14:paraId="62215198">
      <w:pPr>
        <w:pStyle w:val="18"/>
        <w:keepNext w:val="0"/>
        <w:keepLines w:val="0"/>
        <w:widowControl/>
        <w:suppressLineNumbers w:val="0"/>
        <w:spacing w:before="0" w:beforeAutospacing="1" w:after="0" w:afterAutospacing="1" w:line="240" w:lineRule="auto"/>
        <w:ind w:left="0" w:right="0" w:firstLine="480" w:firstLineChars="200"/>
        <w:rPr>
          <w:rFonts w:hint="default"/>
          <w:lang w:val="en-US" w:eastAsia="zh-CN"/>
        </w:rPr>
      </w:pPr>
      <w:r>
        <w:t>保费为50元/生/年，意外受伤门诊可报销最高</w:t>
      </w:r>
      <w:r>
        <w:rPr>
          <w:rFonts w:hint="eastAsia"/>
          <w:color w:val="0000FF"/>
          <w:highlight w:val="none"/>
          <w:lang w:val="en-US" w:eastAsia="zh-CN"/>
        </w:rPr>
        <w:t>2万</w:t>
      </w:r>
      <w:r>
        <w:rPr>
          <w:color w:val="0000FF"/>
          <w:highlight w:val="none"/>
        </w:rPr>
        <w:t>元</w:t>
      </w:r>
      <w:r>
        <w:t>，意外受伤或疾病住院最高报销</w:t>
      </w:r>
      <w:r>
        <w:rPr>
          <w:rFonts w:hint="eastAsia"/>
          <w:b/>
          <w:bCs/>
          <w:color w:val="0000FF"/>
          <w:lang w:val="en-US" w:eastAsia="zh-CN"/>
        </w:rPr>
        <w:t>6</w:t>
      </w:r>
      <w:r>
        <w:rPr>
          <w:b/>
          <w:bCs/>
          <w:color w:val="0000FF"/>
        </w:rPr>
        <w:t>万元</w:t>
      </w:r>
      <w:r>
        <w:rPr>
          <w:rFonts w:hint="eastAsia"/>
          <w:b/>
          <w:bCs/>
          <w:color w:val="0000FF"/>
          <w:lang w:eastAsia="zh-CN"/>
        </w:rPr>
        <w:t>（</w:t>
      </w:r>
      <w:r>
        <w:rPr>
          <w:rFonts w:hint="eastAsia"/>
          <w:b/>
          <w:bCs/>
          <w:color w:val="0000FF"/>
          <w:lang w:val="en-US" w:eastAsia="zh-CN"/>
        </w:rPr>
        <w:t>单次3万）</w:t>
      </w:r>
      <w:r>
        <w:t>，意外或</w:t>
      </w:r>
      <w:bookmarkStart w:id="0" w:name="_GoBack"/>
      <w:bookmarkEnd w:id="0"/>
      <w:r>
        <w:t>疾病身故、意外残疾最高赔付10万元，</w:t>
      </w:r>
      <w:r>
        <w:rPr>
          <w:rFonts w:hint="eastAsia"/>
          <w:lang w:val="en-US" w:eastAsia="zh-CN"/>
        </w:rPr>
        <w:t>以及附加</w:t>
      </w:r>
      <w:r>
        <w:rPr>
          <w:rFonts w:hint="eastAsia" w:ascii="仿宋" w:hAnsi="仿宋" w:eastAsia="仿宋" w:cs="仿宋"/>
          <w:b/>
          <w:bCs/>
          <w:color w:val="0000FF"/>
          <w:sz w:val="24"/>
          <w:szCs w:val="24"/>
          <w:vertAlign w:val="baseline"/>
          <w:lang w:val="en-US" w:eastAsia="zh-CN"/>
        </w:rPr>
        <w:t>公共场所个人责任险，对第三者造成意外伤害也可以赔付。</w:t>
      </w:r>
    </w:p>
    <w:p w14:paraId="6CEA044E">
      <w:pPr>
        <w:pStyle w:val="18"/>
        <w:keepNext w:val="0"/>
        <w:keepLines w:val="0"/>
        <w:widowControl/>
        <w:suppressLineNumbers w:val="0"/>
        <w:spacing w:before="0" w:beforeAutospacing="1" w:after="0" w:afterAutospacing="1" w:line="240" w:lineRule="auto"/>
        <w:ind w:left="0" w:right="0" w:firstLine="480" w:firstLineChars="200"/>
      </w:pPr>
      <w:r>
        <w:t>保障全面、手续简便、理赔迅速、性价比高，与城镇居民医疗保险、新农合等不冲突。请家长朋友们重视并关注人身意外伤害保险，积极、按自愿原则为孩子投保，为学生健康成长增添一份坚实保障。</w:t>
      </w:r>
    </w:p>
    <w:p w14:paraId="30523DB1">
      <w:pPr>
        <w:pStyle w:val="3"/>
        <w:numPr>
          <w:ilvl w:val="0"/>
          <w:numId w:val="0"/>
        </w:numPr>
        <w:bidi w:val="0"/>
        <w:spacing w:line="480" w:lineRule="auto"/>
        <w:jc w:val="center"/>
        <w:rPr>
          <w:rFonts w:hint="eastAsia" w:ascii="仿宋" w:hAnsi="仿宋" w:eastAsia="仿宋" w:cs="仿宋"/>
          <w:b/>
          <w:bCs/>
          <w:sz w:val="28"/>
          <w:szCs w:val="28"/>
          <w:lang w:val="en-US" w:eastAsia="zh-CN"/>
        </w:rPr>
      </w:pPr>
    </w:p>
    <w:p w14:paraId="72153D91">
      <w:pPr>
        <w:keepNext w:val="0"/>
        <w:keepLines w:val="0"/>
        <w:pageBreakBefore w:val="0"/>
        <w:kinsoku/>
        <w:wordWrap/>
        <w:overflowPunct/>
        <w:topLinePunct w:val="0"/>
        <w:autoSpaceDE/>
        <w:autoSpaceDN/>
        <w:bidi w:val="0"/>
        <w:adjustRightInd/>
        <w:snapToGrid/>
        <w:spacing w:line="180" w:lineRule="atLeast"/>
        <w:ind w:firstLine="843" w:firstLineChars="300"/>
        <w:jc w:val="both"/>
        <w:textAlignment w:val="auto"/>
        <w:rPr>
          <w:rFonts w:hint="default" w:eastAsia="仿宋"/>
          <w:sz w:val="20"/>
          <w:szCs w:val="21"/>
          <w:lang w:val="en-US" w:eastAsia="zh-CN"/>
        </w:rPr>
      </w:pPr>
      <w:r>
        <w:rPr>
          <w:rFonts w:hint="eastAsia" w:ascii="仿宋" w:hAnsi="仿宋" w:eastAsia="仿宋" w:cs="仿宋"/>
          <w:b/>
          <w:sz w:val="28"/>
          <w:szCs w:val="28"/>
          <w:lang w:eastAsia="zh-CN"/>
        </w:rPr>
        <w:t>广东省</w:t>
      </w:r>
      <w:r>
        <w:rPr>
          <w:rFonts w:hint="eastAsia" w:ascii="仿宋" w:hAnsi="仿宋" w:eastAsia="仿宋" w:cs="仿宋"/>
          <w:b/>
          <w:sz w:val="28"/>
          <w:szCs w:val="28"/>
          <w:lang w:val="en-US" w:eastAsia="zh-CN"/>
        </w:rPr>
        <w:t>大</w:t>
      </w:r>
      <w:r>
        <w:rPr>
          <w:rFonts w:hint="eastAsia" w:ascii="仿宋" w:hAnsi="仿宋" w:eastAsia="仿宋" w:cs="仿宋"/>
          <w:b/>
          <w:sz w:val="28"/>
          <w:szCs w:val="28"/>
        </w:rPr>
        <w:t>学生</w:t>
      </w:r>
      <w:r>
        <w:rPr>
          <w:rFonts w:hint="eastAsia" w:ascii="仿宋" w:hAnsi="仿宋" w:eastAsia="仿宋" w:cs="仿宋"/>
          <w:b/>
          <w:sz w:val="28"/>
          <w:szCs w:val="28"/>
          <w:lang w:val="en-US" w:eastAsia="zh-CN"/>
        </w:rPr>
        <w:t>学平险（</w:t>
      </w:r>
      <w:r>
        <w:rPr>
          <w:rFonts w:hint="eastAsia" w:ascii="仿宋" w:hAnsi="仿宋" w:eastAsia="仿宋" w:cs="仿宋"/>
          <w:b/>
          <w:sz w:val="28"/>
          <w:szCs w:val="28"/>
        </w:rPr>
        <w:t>意外伤害附加疾病</w:t>
      </w:r>
      <w:r>
        <w:rPr>
          <w:rFonts w:hint="eastAsia" w:ascii="仿宋" w:hAnsi="仿宋" w:eastAsia="仿宋" w:cs="仿宋"/>
          <w:b/>
          <w:sz w:val="28"/>
          <w:szCs w:val="28"/>
          <w:lang w:eastAsia="zh-CN"/>
        </w:rPr>
        <w:t>住院</w:t>
      </w:r>
      <w:r>
        <w:rPr>
          <w:rFonts w:hint="eastAsia" w:ascii="仿宋" w:hAnsi="仿宋" w:eastAsia="仿宋" w:cs="仿宋"/>
          <w:b/>
          <w:sz w:val="28"/>
          <w:szCs w:val="28"/>
        </w:rPr>
        <w:t>医疗</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方案</w:t>
      </w:r>
    </w:p>
    <w:tbl>
      <w:tblPr>
        <w:tblStyle w:val="2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3131"/>
        <w:gridCol w:w="2850"/>
        <w:gridCol w:w="2648"/>
      </w:tblGrid>
      <w:tr w14:paraId="153BA948">
        <w:trPr>
          <w:trHeight w:val="686" w:hRule="atLeast"/>
        </w:trPr>
        <w:tc>
          <w:tcPr>
            <w:tcW w:w="9962" w:type="dxa"/>
            <w:gridSpan w:val="4"/>
            <w:vAlign w:val="center"/>
          </w:tcPr>
          <w:p w14:paraId="24295D90">
            <w:pPr>
              <w:numPr>
                <w:ilvl w:val="0"/>
                <w:numId w:val="0"/>
              </w:num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bCs/>
                <w:i w:val="0"/>
                <w:iCs w:val="0"/>
                <w:color w:val="000000"/>
                <w:kern w:val="0"/>
                <w:sz w:val="28"/>
                <w:szCs w:val="28"/>
                <w:u w:val="none"/>
                <w:lang w:val="en-US" w:eastAsia="zh-CN" w:bidi="ar"/>
              </w:rPr>
              <w:t>保障方</w:t>
            </w:r>
            <w:r>
              <w:rPr>
                <w:rFonts w:hint="eastAsia" w:ascii="仿宋" w:hAnsi="仿宋" w:eastAsia="仿宋" w:cs="仿宋"/>
                <w:b/>
                <w:bCs/>
                <w:i w:val="0"/>
                <w:iCs w:val="0"/>
                <w:color w:val="auto"/>
                <w:kern w:val="0"/>
                <w:sz w:val="28"/>
                <w:szCs w:val="28"/>
                <w:u w:val="none"/>
                <w:lang w:val="en-US" w:eastAsia="zh-CN" w:bidi="ar"/>
              </w:rPr>
              <w:t>案</w:t>
            </w:r>
          </w:p>
        </w:tc>
      </w:tr>
      <w:tr w14:paraId="0B4F0275">
        <w:trPr>
          <w:trHeight w:val="737" w:hRule="atLeast"/>
        </w:trPr>
        <w:tc>
          <w:tcPr>
            <w:tcW w:w="4464" w:type="dxa"/>
            <w:gridSpan w:val="2"/>
            <w:vAlign w:val="center"/>
          </w:tcPr>
          <w:p w14:paraId="499DCAA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保障内容</w:t>
            </w:r>
          </w:p>
        </w:tc>
        <w:tc>
          <w:tcPr>
            <w:tcW w:w="2850" w:type="dxa"/>
            <w:vAlign w:val="center"/>
          </w:tcPr>
          <w:p w14:paraId="55357DF2">
            <w:pPr>
              <w:numPr>
                <w:ilvl w:val="0"/>
                <w:numId w:val="0"/>
              </w:num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保险金额（累计）</w:t>
            </w:r>
          </w:p>
        </w:tc>
        <w:tc>
          <w:tcPr>
            <w:tcW w:w="2648" w:type="dxa"/>
            <w:vAlign w:val="center"/>
          </w:tcPr>
          <w:p w14:paraId="145B5E6E">
            <w:pPr>
              <w:numPr>
                <w:ilvl w:val="0"/>
                <w:numId w:val="0"/>
              </w:numPr>
              <w:spacing w:line="360" w:lineRule="auto"/>
              <w:jc w:val="center"/>
              <w:rPr>
                <w:rFonts w:hint="eastAsia" w:ascii="仿宋" w:hAnsi="仿宋" w:eastAsia="仿宋" w:cs="仿宋"/>
                <w:b/>
                <w:sz w:val="24"/>
                <w:szCs w:val="24"/>
                <w:vertAlign w:val="baseline"/>
                <w:lang w:val="en-US" w:eastAsia="zh-CN"/>
              </w:rPr>
            </w:pPr>
            <w:r>
              <w:rPr>
                <w:rFonts w:hint="eastAsia" w:ascii="仿宋" w:hAnsi="仿宋" w:eastAsia="仿宋" w:cs="仿宋"/>
                <w:b/>
                <w:sz w:val="24"/>
                <w:szCs w:val="24"/>
                <w:vertAlign w:val="baseline"/>
                <w:lang w:val="en-US" w:eastAsia="zh-CN"/>
              </w:rPr>
              <w:t>保费</w:t>
            </w:r>
          </w:p>
        </w:tc>
      </w:tr>
      <w:tr w14:paraId="31214EF3">
        <w:trPr>
          <w:trHeight w:val="731" w:hRule="atLeast"/>
        </w:trPr>
        <w:tc>
          <w:tcPr>
            <w:tcW w:w="4464" w:type="dxa"/>
            <w:gridSpan w:val="2"/>
            <w:vAlign w:val="center"/>
          </w:tcPr>
          <w:p w14:paraId="3A41344D">
            <w:pPr>
              <w:keepNext w:val="0"/>
              <w:keepLines w:val="0"/>
              <w:widowControl/>
              <w:suppressLineNumbers w:val="0"/>
              <w:spacing w:line="60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学生意外伤害（身故、伤残）</w:t>
            </w:r>
          </w:p>
        </w:tc>
        <w:tc>
          <w:tcPr>
            <w:tcW w:w="2850" w:type="dxa"/>
            <w:vAlign w:val="center"/>
          </w:tcPr>
          <w:p w14:paraId="6B79EEA0">
            <w:pPr>
              <w:numPr>
                <w:ilvl w:val="0"/>
                <w:numId w:val="0"/>
              </w:numPr>
              <w:spacing w:line="600" w:lineRule="auto"/>
              <w:ind w:left="0" w:leftChars="0" w:firstLine="0" w:firstLineChars="0"/>
              <w:jc w:val="center"/>
              <w:rPr>
                <w:rFonts w:hint="eastAsia" w:ascii="仿宋" w:hAnsi="仿宋" w:eastAsia="仿宋" w:cs="仿宋"/>
                <w:b/>
                <w:kern w:val="2"/>
                <w:sz w:val="24"/>
                <w:szCs w:val="24"/>
                <w:vertAlign w:val="baseline"/>
                <w:lang w:val="en-US" w:eastAsia="zh-CN" w:bidi="ar-SA"/>
              </w:rPr>
            </w:pPr>
            <w:r>
              <w:rPr>
                <w:rFonts w:hint="eastAsia" w:ascii="仿宋" w:hAnsi="仿宋" w:eastAsia="仿宋" w:cs="仿宋"/>
                <w:b/>
                <w:sz w:val="24"/>
                <w:szCs w:val="24"/>
                <w:vertAlign w:val="baseline"/>
                <w:lang w:val="en-US" w:eastAsia="zh-CN"/>
              </w:rPr>
              <w:t>10万</w:t>
            </w:r>
          </w:p>
        </w:tc>
        <w:tc>
          <w:tcPr>
            <w:tcW w:w="2648" w:type="dxa"/>
            <w:vMerge w:val="restart"/>
            <w:vAlign w:val="center"/>
          </w:tcPr>
          <w:p w14:paraId="1BE0541C">
            <w:pPr>
              <w:pStyle w:val="26"/>
              <w:spacing w:line="360" w:lineRule="auto"/>
              <w:jc w:val="center"/>
              <w:rPr>
                <w:rFonts w:hint="default" w:ascii="仿宋" w:hAnsi="仿宋" w:eastAsia="仿宋" w:cs="仿宋"/>
                <w:b w:val="0"/>
                <w:bCs/>
                <w:sz w:val="24"/>
                <w:szCs w:val="24"/>
                <w:vertAlign w:val="baseline"/>
                <w:lang w:val="en-US" w:eastAsia="zh-CN"/>
              </w:rPr>
            </w:pPr>
            <w:r>
              <w:rPr>
                <w:rFonts w:hint="eastAsia" w:ascii="仿宋" w:hAnsi="仿宋" w:eastAsia="仿宋" w:cs="仿宋"/>
                <w:b/>
                <w:bCs w:val="0"/>
                <w:sz w:val="24"/>
                <w:szCs w:val="24"/>
                <w:vertAlign w:val="baseline"/>
                <w:lang w:val="en-US" w:eastAsia="zh-CN"/>
              </w:rPr>
              <w:t>50元/人/年</w:t>
            </w:r>
          </w:p>
        </w:tc>
      </w:tr>
      <w:tr w14:paraId="0233F802">
        <w:trPr>
          <w:trHeight w:val="791" w:hRule="atLeast"/>
        </w:trPr>
        <w:tc>
          <w:tcPr>
            <w:tcW w:w="4464" w:type="dxa"/>
            <w:gridSpan w:val="2"/>
            <w:vAlign w:val="center"/>
          </w:tcPr>
          <w:p w14:paraId="4B292D0F">
            <w:pPr>
              <w:keepNext w:val="0"/>
              <w:keepLines w:val="0"/>
              <w:widowControl/>
              <w:suppressLineNumbers w:val="0"/>
              <w:spacing w:line="600" w:lineRule="auto"/>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附加学生疾病身故</w:t>
            </w:r>
          </w:p>
        </w:tc>
        <w:tc>
          <w:tcPr>
            <w:tcW w:w="2850" w:type="dxa"/>
            <w:vAlign w:val="center"/>
          </w:tcPr>
          <w:p w14:paraId="640F5876">
            <w:pPr>
              <w:numPr>
                <w:ilvl w:val="0"/>
                <w:numId w:val="0"/>
              </w:numPr>
              <w:spacing w:line="600" w:lineRule="auto"/>
              <w:ind w:left="0" w:leftChars="0" w:firstLine="0" w:firstLineChars="0"/>
              <w:jc w:val="center"/>
              <w:rPr>
                <w:rFonts w:hint="eastAsia" w:ascii="仿宋" w:hAnsi="仿宋" w:eastAsia="仿宋" w:cs="仿宋"/>
                <w:b/>
                <w:kern w:val="2"/>
                <w:sz w:val="24"/>
                <w:szCs w:val="24"/>
                <w:vertAlign w:val="baseline"/>
                <w:lang w:val="en-US" w:eastAsia="zh-CN" w:bidi="ar-SA"/>
              </w:rPr>
            </w:pPr>
            <w:r>
              <w:rPr>
                <w:rFonts w:hint="eastAsia" w:ascii="仿宋" w:hAnsi="仿宋" w:eastAsia="仿宋" w:cs="仿宋"/>
                <w:b/>
                <w:sz w:val="24"/>
                <w:szCs w:val="24"/>
                <w:vertAlign w:val="baseline"/>
                <w:lang w:val="en-US" w:eastAsia="zh-CN"/>
              </w:rPr>
              <w:t>10万</w:t>
            </w:r>
          </w:p>
        </w:tc>
        <w:tc>
          <w:tcPr>
            <w:tcW w:w="2648" w:type="dxa"/>
            <w:vMerge w:val="continue"/>
            <w:vAlign w:val="center"/>
          </w:tcPr>
          <w:p w14:paraId="421C5C1B">
            <w:pPr>
              <w:numPr>
                <w:ilvl w:val="0"/>
                <w:numId w:val="0"/>
              </w:numPr>
              <w:spacing w:line="360" w:lineRule="auto"/>
              <w:jc w:val="center"/>
              <w:rPr>
                <w:rFonts w:hint="eastAsia" w:ascii="仿宋" w:hAnsi="仿宋" w:eastAsia="仿宋" w:cs="仿宋"/>
                <w:b/>
                <w:sz w:val="24"/>
                <w:szCs w:val="24"/>
                <w:vertAlign w:val="baseline"/>
                <w:lang w:val="en-US" w:eastAsia="zh-CN"/>
              </w:rPr>
            </w:pPr>
          </w:p>
        </w:tc>
      </w:tr>
      <w:tr w14:paraId="1A483C89">
        <w:trPr>
          <w:trHeight w:val="1385" w:hRule="atLeast"/>
        </w:trPr>
        <w:tc>
          <w:tcPr>
            <w:tcW w:w="4464" w:type="dxa"/>
            <w:gridSpan w:val="2"/>
            <w:vAlign w:val="center"/>
          </w:tcPr>
          <w:p w14:paraId="568577DB">
            <w:pPr>
              <w:keepNext w:val="0"/>
              <w:keepLines w:val="0"/>
              <w:widowControl/>
              <w:suppressLineNumbers w:val="0"/>
              <w:spacing w:line="60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vertAlign w:val="baseline"/>
                <w:lang w:val="en-US" w:eastAsia="zh-CN"/>
              </w:rPr>
              <w:t>附加学生</w:t>
            </w:r>
            <w:r>
              <w:rPr>
                <w:rFonts w:hint="eastAsia" w:ascii="仿宋" w:hAnsi="仿宋" w:eastAsia="仿宋" w:cs="仿宋"/>
                <w:b/>
                <w:bCs/>
                <w:color w:val="0000FF"/>
                <w:sz w:val="24"/>
                <w:szCs w:val="24"/>
                <w:vertAlign w:val="baseline"/>
                <w:lang w:val="en-US" w:eastAsia="zh-CN"/>
              </w:rPr>
              <w:t>住院医疗</w:t>
            </w:r>
          </w:p>
        </w:tc>
        <w:tc>
          <w:tcPr>
            <w:tcW w:w="2850" w:type="dxa"/>
            <w:vAlign w:val="center"/>
          </w:tcPr>
          <w:p w14:paraId="07E437BF">
            <w:pPr>
              <w:numPr>
                <w:ilvl w:val="0"/>
                <w:numId w:val="0"/>
              </w:numPr>
              <w:spacing w:line="360" w:lineRule="auto"/>
              <w:ind w:left="0" w:leftChars="0" w:firstLine="0" w:firstLineChars="0"/>
              <w:jc w:val="center"/>
              <w:rPr>
                <w:rFonts w:hint="eastAsia" w:ascii="仿宋" w:hAnsi="仿宋" w:eastAsia="仿宋" w:cs="仿宋"/>
                <w:b/>
                <w:color w:val="0000FF"/>
                <w:sz w:val="24"/>
                <w:szCs w:val="24"/>
                <w:vertAlign w:val="baseline"/>
                <w:lang w:val="en-US" w:eastAsia="zh-CN"/>
              </w:rPr>
            </w:pPr>
            <w:r>
              <w:rPr>
                <w:rFonts w:hint="eastAsia" w:ascii="仿宋" w:hAnsi="仿宋" w:eastAsia="仿宋" w:cs="仿宋"/>
                <w:b/>
                <w:color w:val="0000FF"/>
                <w:sz w:val="24"/>
                <w:szCs w:val="24"/>
                <w:vertAlign w:val="baseline"/>
                <w:lang w:val="en-US" w:eastAsia="zh-CN"/>
              </w:rPr>
              <w:t>累计限额6万</w:t>
            </w:r>
          </w:p>
          <w:p w14:paraId="51075B81">
            <w:pPr>
              <w:numPr>
                <w:ilvl w:val="0"/>
                <w:numId w:val="0"/>
              </w:numPr>
              <w:spacing w:line="360" w:lineRule="auto"/>
              <w:ind w:left="0" w:leftChars="0" w:firstLine="0" w:firstLineChars="0"/>
              <w:jc w:val="center"/>
              <w:rPr>
                <w:rFonts w:hint="default" w:ascii="仿宋" w:hAnsi="仿宋" w:eastAsia="仿宋" w:cs="仿宋"/>
                <w:b/>
                <w:sz w:val="24"/>
                <w:szCs w:val="24"/>
                <w:vertAlign w:val="baseline"/>
                <w:lang w:val="en-US" w:eastAsia="zh-CN"/>
              </w:rPr>
            </w:pPr>
            <w:r>
              <w:rPr>
                <w:rFonts w:hint="eastAsia" w:ascii="仿宋" w:hAnsi="仿宋" w:eastAsia="仿宋" w:cs="仿宋"/>
                <w:b/>
                <w:color w:val="0000FF"/>
                <w:sz w:val="24"/>
                <w:szCs w:val="24"/>
                <w:vertAlign w:val="baseline"/>
                <w:lang w:val="en-US" w:eastAsia="zh-CN"/>
              </w:rPr>
              <w:t>每次事故限额3万</w:t>
            </w:r>
          </w:p>
        </w:tc>
        <w:tc>
          <w:tcPr>
            <w:tcW w:w="2648" w:type="dxa"/>
            <w:vMerge w:val="continue"/>
            <w:vAlign w:val="center"/>
          </w:tcPr>
          <w:p w14:paraId="63DE4AD6">
            <w:pPr>
              <w:numPr>
                <w:ilvl w:val="0"/>
                <w:numId w:val="0"/>
              </w:numPr>
              <w:spacing w:line="360" w:lineRule="auto"/>
              <w:jc w:val="center"/>
              <w:rPr>
                <w:rFonts w:hint="eastAsia" w:ascii="仿宋" w:hAnsi="仿宋" w:eastAsia="仿宋" w:cs="仿宋"/>
                <w:b/>
                <w:sz w:val="24"/>
                <w:szCs w:val="24"/>
                <w:vertAlign w:val="baseline"/>
                <w:lang w:val="en-US" w:eastAsia="zh-CN"/>
              </w:rPr>
            </w:pPr>
          </w:p>
        </w:tc>
      </w:tr>
      <w:tr w14:paraId="5570C3E6">
        <w:trPr>
          <w:trHeight w:val="703" w:hRule="atLeast"/>
        </w:trPr>
        <w:tc>
          <w:tcPr>
            <w:tcW w:w="4464" w:type="dxa"/>
            <w:gridSpan w:val="2"/>
            <w:vAlign w:val="center"/>
          </w:tcPr>
          <w:p w14:paraId="3B9D103A">
            <w:pPr>
              <w:keepNext w:val="0"/>
              <w:keepLines w:val="0"/>
              <w:widowControl/>
              <w:suppressLineNumbers w:val="0"/>
              <w:spacing w:line="600" w:lineRule="auto"/>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附加学生意外伤害门诊医疗</w:t>
            </w:r>
          </w:p>
        </w:tc>
        <w:tc>
          <w:tcPr>
            <w:tcW w:w="2850" w:type="dxa"/>
            <w:vAlign w:val="center"/>
          </w:tcPr>
          <w:p w14:paraId="0B1A3A84">
            <w:pPr>
              <w:numPr>
                <w:ilvl w:val="0"/>
                <w:numId w:val="0"/>
              </w:numPr>
              <w:spacing w:line="600" w:lineRule="auto"/>
              <w:ind w:left="0" w:leftChars="0" w:firstLine="0" w:firstLineChars="0"/>
              <w:jc w:val="center"/>
              <w:rPr>
                <w:rFonts w:hint="default" w:ascii="仿宋" w:hAnsi="仿宋" w:eastAsia="仿宋" w:cs="仿宋"/>
                <w:b/>
                <w:sz w:val="24"/>
                <w:szCs w:val="24"/>
                <w:vertAlign w:val="baseline"/>
                <w:lang w:val="en-US" w:eastAsia="zh-CN"/>
              </w:rPr>
            </w:pPr>
            <w:r>
              <w:rPr>
                <w:rFonts w:hint="eastAsia" w:ascii="仿宋" w:hAnsi="仿宋" w:eastAsia="仿宋" w:cs="仿宋"/>
                <w:b/>
                <w:color w:val="0000FF"/>
                <w:sz w:val="24"/>
                <w:szCs w:val="24"/>
                <w:vertAlign w:val="baseline"/>
                <w:lang w:val="en-US" w:eastAsia="zh-CN"/>
              </w:rPr>
              <w:t>2万</w:t>
            </w:r>
          </w:p>
        </w:tc>
        <w:tc>
          <w:tcPr>
            <w:tcW w:w="2648" w:type="dxa"/>
            <w:vMerge w:val="continue"/>
            <w:vAlign w:val="center"/>
          </w:tcPr>
          <w:p w14:paraId="085201E3">
            <w:pPr>
              <w:numPr>
                <w:ilvl w:val="0"/>
                <w:numId w:val="0"/>
              </w:numPr>
              <w:spacing w:line="360" w:lineRule="auto"/>
              <w:jc w:val="center"/>
              <w:rPr>
                <w:rFonts w:hint="eastAsia" w:ascii="仿宋" w:hAnsi="仿宋" w:eastAsia="仿宋" w:cs="仿宋"/>
                <w:b/>
                <w:sz w:val="24"/>
                <w:szCs w:val="24"/>
                <w:vertAlign w:val="baseline"/>
                <w:lang w:val="en-US" w:eastAsia="zh-CN"/>
              </w:rPr>
            </w:pPr>
          </w:p>
        </w:tc>
      </w:tr>
      <w:tr w14:paraId="423E8D5B">
        <w:trPr>
          <w:trHeight w:val="703" w:hRule="atLeast"/>
        </w:trPr>
        <w:tc>
          <w:tcPr>
            <w:tcW w:w="4464" w:type="dxa"/>
            <w:gridSpan w:val="2"/>
            <w:vAlign w:val="center"/>
          </w:tcPr>
          <w:p w14:paraId="49CE8349">
            <w:pPr>
              <w:keepNext w:val="0"/>
              <w:keepLines w:val="0"/>
              <w:widowControl/>
              <w:suppressLineNumbers w:val="0"/>
              <w:spacing w:line="600" w:lineRule="auto"/>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附加</w:t>
            </w:r>
            <w:r>
              <w:rPr>
                <w:rFonts w:hint="eastAsia" w:ascii="仿宋" w:hAnsi="仿宋" w:eastAsia="仿宋" w:cs="仿宋"/>
                <w:b/>
                <w:bCs/>
                <w:color w:val="0000FF"/>
                <w:sz w:val="24"/>
                <w:szCs w:val="24"/>
                <w:vertAlign w:val="baseline"/>
                <w:lang w:val="en-US" w:eastAsia="zh-CN"/>
              </w:rPr>
              <w:t>公共场所个人责任险</w:t>
            </w:r>
          </w:p>
        </w:tc>
        <w:tc>
          <w:tcPr>
            <w:tcW w:w="2850" w:type="dxa"/>
            <w:vAlign w:val="center"/>
          </w:tcPr>
          <w:p w14:paraId="1B4CF942">
            <w:pPr>
              <w:numPr>
                <w:ilvl w:val="0"/>
                <w:numId w:val="0"/>
              </w:numPr>
              <w:spacing w:line="600" w:lineRule="auto"/>
              <w:ind w:left="0" w:leftChars="0" w:firstLine="0" w:firstLineChars="0"/>
              <w:jc w:val="center"/>
              <w:rPr>
                <w:rFonts w:hint="default" w:ascii="仿宋" w:hAnsi="仿宋" w:eastAsia="仿宋" w:cs="仿宋"/>
                <w:b/>
                <w:sz w:val="24"/>
                <w:szCs w:val="24"/>
                <w:vertAlign w:val="baseline"/>
                <w:lang w:val="en-US" w:eastAsia="zh-CN"/>
              </w:rPr>
            </w:pPr>
            <w:r>
              <w:rPr>
                <w:rFonts w:hint="eastAsia" w:ascii="仿宋" w:hAnsi="仿宋" w:eastAsia="仿宋" w:cs="仿宋"/>
                <w:b/>
                <w:color w:val="0000FF"/>
                <w:sz w:val="24"/>
                <w:szCs w:val="24"/>
                <w:vertAlign w:val="baseline"/>
                <w:lang w:val="en-US" w:eastAsia="zh-CN"/>
              </w:rPr>
              <w:t>1万</w:t>
            </w:r>
          </w:p>
        </w:tc>
        <w:tc>
          <w:tcPr>
            <w:tcW w:w="2648" w:type="dxa"/>
            <w:vMerge w:val="continue"/>
            <w:vAlign w:val="center"/>
          </w:tcPr>
          <w:p w14:paraId="79AF9FD8">
            <w:pPr>
              <w:numPr>
                <w:ilvl w:val="0"/>
                <w:numId w:val="0"/>
              </w:numPr>
              <w:spacing w:line="360" w:lineRule="auto"/>
              <w:jc w:val="center"/>
              <w:rPr>
                <w:rFonts w:hint="eastAsia" w:ascii="仿宋" w:hAnsi="仿宋" w:eastAsia="仿宋" w:cs="仿宋"/>
                <w:b/>
                <w:sz w:val="24"/>
                <w:szCs w:val="24"/>
                <w:vertAlign w:val="baseline"/>
                <w:lang w:val="en-US" w:eastAsia="zh-CN"/>
              </w:rPr>
            </w:pPr>
          </w:p>
        </w:tc>
      </w:tr>
      <w:tr w14:paraId="7FBCA9CC">
        <w:trPr>
          <w:trHeight w:val="1001" w:hRule="atLeast"/>
        </w:trPr>
        <w:tc>
          <w:tcPr>
            <w:tcW w:w="1333" w:type="dxa"/>
            <w:vAlign w:val="center"/>
          </w:tcPr>
          <w:p w14:paraId="3543C75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免赔</w:t>
            </w:r>
          </w:p>
        </w:tc>
        <w:tc>
          <w:tcPr>
            <w:tcW w:w="8629" w:type="dxa"/>
            <w:gridSpan w:val="3"/>
            <w:vAlign w:val="center"/>
          </w:tcPr>
          <w:p w14:paraId="1E9ABA98">
            <w:pPr>
              <w:spacing w:line="360" w:lineRule="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1、意外伤害门诊急诊医疗保障，每次事故绝对免赔50元后，对符合保险责任范围内的意外门诊急诊医疗费用按80%的比例给付医疗保险金；</w:t>
            </w:r>
          </w:p>
          <w:p w14:paraId="1D0FA4C1">
            <w:pPr>
              <w:spacing w:line="360" w:lineRule="auto"/>
              <w:rPr>
                <w:rFonts w:hint="eastAsia" w:ascii="仿宋" w:hAnsi="仿宋" w:eastAsia="仿宋" w:cs="仿宋"/>
                <w:b/>
                <w:sz w:val="24"/>
                <w:szCs w:val="24"/>
                <w:vertAlign w:val="baseline"/>
                <w:lang w:val="en-US" w:eastAsia="zh-CN"/>
              </w:rPr>
            </w:pPr>
            <w:r>
              <w:rPr>
                <w:rFonts w:hint="eastAsia" w:ascii="仿宋" w:hAnsi="仿宋" w:eastAsia="仿宋" w:cs="仿宋"/>
                <w:b w:val="0"/>
                <w:bCs/>
                <w:sz w:val="24"/>
                <w:szCs w:val="24"/>
                <w:vertAlign w:val="baseline"/>
                <w:lang w:val="en-US" w:eastAsia="zh-CN"/>
              </w:rPr>
              <w:t>2、住院医疗保障按一级医院90%，二级医院80%，三级医院及外地医疗机构70%的比例给付。</w:t>
            </w:r>
          </w:p>
        </w:tc>
      </w:tr>
      <w:tr w14:paraId="54C4518F">
        <w:trPr>
          <w:trHeight w:val="1001" w:hRule="atLeast"/>
        </w:trPr>
        <w:tc>
          <w:tcPr>
            <w:tcW w:w="1333" w:type="dxa"/>
            <w:vAlign w:val="center"/>
          </w:tcPr>
          <w:p w14:paraId="6BE2179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特别约定</w:t>
            </w:r>
          </w:p>
        </w:tc>
        <w:tc>
          <w:tcPr>
            <w:tcW w:w="8629" w:type="dxa"/>
            <w:gridSpan w:val="3"/>
            <w:vAlign w:val="center"/>
          </w:tcPr>
          <w:p w14:paraId="7A760678">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1.被保险人及职业类别以被保险人清单为准。</w:t>
            </w:r>
          </w:p>
          <w:p w14:paraId="7B4D4819">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2.被保险人同时投保校方责任险 (并附加无过失责任险)与本保单意外健康险，医疗费用需先在校方责任险进行赔付 (不属于校方责任险责任范围内的保险责任无需先在校方责任险进行赔付)。</w:t>
            </w:r>
          </w:p>
          <w:p w14:paraId="746589AE">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3.疾病身故及疾病住院保障，设置90天等待期，如被保险人在保单起保后90天内发生疾病导致的身故及住院，则不属于保险责任，续保者不受等待期限制。</w:t>
            </w:r>
          </w:p>
          <w:p w14:paraId="5F4E3354">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4.意外伤害门诊急诊医疗保障，每次事故绝对免赔50元后，对符合保险责任范围内的意外门诊急诊医疗费用按80%的比例给付医疗保险金，每次事故赔偿限额5000元/人。</w:t>
            </w:r>
          </w:p>
          <w:p w14:paraId="5647AE3C">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5.无医保人员适用：住院医疗保障 (疾病住院保障需在90天等待期后)，每次事故绝对免赔100元后，如符合保险责任范围内的住院医疗费用，按如下规定分级累进、比例给付医疗保险金；人民币100元以上至1000元部分，按50%给付保险金；人民币1000元以上至5000元部分，按60%给付保险金；人民币5000元以上至10000元部分，按70%给付保险金；人民币10000元以上至30000元部分，按80%给付保险金；人民币30000元以上部分按90%给付保险金，每次事故赔偿限额30000元/人。</w:t>
            </w:r>
          </w:p>
          <w:p w14:paraId="05504B55">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6.有医保人员适用：住院医疗保障 (疾病住院保障需在90天等待期后)，被保险人在新农合或社会医疗保险报销后的住院医疗费用余额，如符合保险责任范围内的，按一级医院90%，二级医院80%，三级医院及外地医疗机构70%的比例给付保险金，每次事故赔偿限额30000元/人。</w:t>
            </w:r>
          </w:p>
          <w:p w14:paraId="558C84F2">
            <w:pPr>
              <w:spacing w:line="360" w:lineRule="auto"/>
              <w:rPr>
                <w:rFonts w:hint="eastAsia" w:ascii="仿宋" w:hAnsi="仿宋" w:eastAsia="仿宋" w:cs="仿宋"/>
                <w:b w:val="0"/>
                <w:bCs/>
                <w:sz w:val="22"/>
                <w:szCs w:val="22"/>
                <w:vertAlign w:val="baseline"/>
                <w:lang w:val="en-US" w:eastAsia="zh-CN"/>
              </w:rPr>
            </w:pPr>
            <w:r>
              <w:rPr>
                <w:rFonts w:hint="eastAsia" w:ascii="仿宋" w:hAnsi="仿宋" w:eastAsia="仿宋" w:cs="仿宋"/>
                <w:b w:val="0"/>
                <w:bCs/>
                <w:sz w:val="22"/>
                <w:szCs w:val="22"/>
                <w:vertAlign w:val="baseline"/>
                <w:lang w:val="en-US" w:eastAsia="zh-CN"/>
              </w:rPr>
              <w:t>7.根据中国保监会规定，父母为其未成年子女投保的人身保险，各保险合同约定的被保险人死亡给付的保险金额总和、被保险人死亡时各保险公司实际给付的保险金总和均不得超过以下限额:被保险人不满10周岁的，不得超过人民币20万元，被保险人已满10周岁但未满18周岁的，不得超过人民币50万元；但航空意外死亡保险金额及重大自然灾害意外死亡保险金额不计算在上述规定限额之中。</w:t>
            </w:r>
          </w:p>
          <w:p w14:paraId="73B5EA28">
            <w:pPr>
              <w:spacing w:line="360" w:lineRule="auto"/>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2"/>
                <w:szCs w:val="22"/>
                <w:vertAlign w:val="baseline"/>
                <w:lang w:val="en-US" w:eastAsia="zh-CN"/>
              </w:rPr>
              <w:t>8.前述“住院医疗保险金”年累计赔付限额60000元/人。</w:t>
            </w:r>
          </w:p>
        </w:tc>
      </w:tr>
    </w:tbl>
    <w:p w14:paraId="4D26201F">
      <w:pPr>
        <w:rPr>
          <w:rFonts w:hint="eastAsia"/>
          <w:lang w:val="en-US" w:eastAsia="zh-CN"/>
        </w:rPr>
      </w:pPr>
      <w:r>
        <w:rPr>
          <w:rFonts w:hint="eastAsia" w:ascii="仿宋" w:hAnsi="仿宋" w:eastAsia="仿宋" w:cs="仿宋"/>
          <w:b/>
          <w:sz w:val="24"/>
          <w:szCs w:val="24"/>
          <w:lang w:val="en-US" w:eastAsia="zh-CN"/>
        </w:rPr>
        <w:t>理赔流程：</w:t>
      </w:r>
    </w:p>
    <w:p w14:paraId="0B7C78F8">
      <w:pPr>
        <w:rPr>
          <w:rFonts w:hint="default"/>
          <w:lang w:val="en-US" w:eastAsia="zh-CN"/>
        </w:rPr>
      </w:pPr>
      <w:r>
        <w:rPr>
          <w:rFonts w:hint="eastAsia"/>
          <w:lang w:val="en-US" w:eastAsia="zh-CN"/>
        </w:rPr>
        <w:drawing>
          <wp:inline distT="0" distB="0" distL="114300" distR="114300">
            <wp:extent cx="6186170" cy="1681480"/>
            <wp:effectExtent l="0" t="0" r="11430" b="20320"/>
            <wp:docPr id="5" name="图片 5" descr="eb6f90ea-151b-4e0f-b6a2-ce014beff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b6f90ea-151b-4e0f-b6a2-ce014beff7bd"/>
                    <pic:cNvPicPr>
                      <a:picLocks noChangeAspect="1"/>
                    </pic:cNvPicPr>
                  </pic:nvPicPr>
                  <pic:blipFill>
                    <a:blip r:embed="rId6"/>
                    <a:stretch>
                      <a:fillRect/>
                    </a:stretch>
                  </pic:blipFill>
                  <pic:spPr>
                    <a:xfrm>
                      <a:off x="0" y="0"/>
                      <a:ext cx="6186170" cy="1681480"/>
                    </a:xfrm>
                    <a:prstGeom prst="rect">
                      <a:avLst/>
                    </a:prstGeom>
                  </pic:spPr>
                </pic:pic>
              </a:graphicData>
            </a:graphic>
          </wp:inline>
        </w:drawing>
      </w:r>
    </w:p>
    <w:p w14:paraId="52E0BD91">
      <w:pPr>
        <w:ind w:firstLine="723" w:firstLineChars="300"/>
        <w:jc w:val="both"/>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保险费每人每学年50元，一次性投保全学段。四年学制的保费共200元，三年学制的保费共150元，两年学制的保费共100元。</w:t>
      </w:r>
    </w:p>
    <w:p w14:paraId="671A2B34">
      <w:pPr>
        <w:ind w:firstLine="723" w:firstLineChars="300"/>
        <w:jc w:val="both"/>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各班负责人以表格形式（附件1）统计参保学生信息，联系学校确定的保险公司和保险专员，将名单及保费转交给保险公司。</w:t>
      </w:r>
    </w:p>
    <w:p w14:paraId="59DC20EF">
      <w:pPr>
        <w:ind w:firstLine="723" w:firstLineChars="300"/>
        <w:jc w:val="both"/>
        <w:rPr>
          <w:rFonts w:hint="default" w:ascii="仿宋" w:hAnsi="仿宋" w:eastAsia="仿宋" w:cs="仿宋"/>
          <w:sz w:val="24"/>
          <w:szCs w:val="24"/>
          <w:lang w:val="en-US"/>
        </w:rPr>
      </w:pPr>
      <w:r>
        <w:rPr>
          <w:rFonts w:hint="eastAsia" w:ascii="仿宋" w:hAnsi="仿宋" w:eastAsia="仿宋" w:cs="仿宋"/>
          <w:b/>
          <w:sz w:val="24"/>
          <w:szCs w:val="24"/>
          <w:lang w:val="en-US" w:eastAsia="zh-CN"/>
        </w:rPr>
        <w:t>联系人：王洁纯，手机号码：15018780349（微信同号）</w:t>
      </w:r>
      <w:r>
        <w:rPr>
          <w:rFonts w:hint="eastAsia" w:ascii="仿宋" w:hAnsi="仿宋" w:eastAsia="仿宋" w:cs="仿宋"/>
          <w:b/>
          <w:sz w:val="24"/>
          <w:szCs w:val="24"/>
          <w:lang w:val="en-US" w:eastAsia="zh-CN"/>
        </w:rPr>
        <w:t>。</w:t>
      </w:r>
    </w:p>
    <w:p w14:paraId="7329266E"/>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565F">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DD4BE">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DD4BE">
                    <w:pPr>
                      <w:pStyle w:val="1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14:paraId="0D4AAC5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581D">
    <w:pPr>
      <w:pStyle w:val="15"/>
      <w:pBdr>
        <w:bottom w:val="none" w:color="auto" w:sz="0" w:space="0"/>
      </w:pBdr>
      <w:rPr>
        <w:rFonts w:hint="default"/>
        <w:lang w:val="en-US" w:eastAsia="zh-CN"/>
      </w:rPr>
    </w:pPr>
    <w:r>
      <w:rPr>
        <w:lang w:val="en-US" w:eastAsia="zh-CN"/>
      </w:rPr>
      <w:drawing>
        <wp:anchor distT="0" distB="0" distL="0" distR="0" simplePos="0" relativeHeight="251659264" behindDoc="0" locked="0" layoutInCell="1" allowOverlap="1">
          <wp:simplePos x="0" y="0"/>
          <wp:positionH relativeFrom="column">
            <wp:posOffset>4630420</wp:posOffset>
          </wp:positionH>
          <wp:positionV relativeFrom="paragraph">
            <wp:posOffset>-167640</wp:posOffset>
          </wp:positionV>
          <wp:extent cx="1846580" cy="295275"/>
          <wp:effectExtent l="0" t="0" r="1270" b="8890"/>
          <wp:wrapNone/>
          <wp:docPr id="4098" name="图片 18" descr="标志公司名规定"/>
          <wp:cNvGraphicFramePr/>
          <a:graphic xmlns:a="http://schemas.openxmlformats.org/drawingml/2006/main">
            <a:graphicData uri="http://schemas.openxmlformats.org/drawingml/2006/picture">
              <pic:pic xmlns:pic="http://schemas.openxmlformats.org/drawingml/2006/picture">
                <pic:nvPicPr>
                  <pic:cNvPr id="4098" name="图片 18" descr="标志公司名规定"/>
                  <pic:cNvPicPr/>
                </pic:nvPicPr>
                <pic:blipFill>
                  <a:blip r:embed="rId1" cstate="print"/>
                  <a:srcRect/>
                  <a:stretch>
                    <a:fillRect/>
                  </a:stretch>
                </pic:blipFill>
                <pic:spPr>
                  <a:xfrm>
                    <a:off x="0" y="0"/>
                    <a:ext cx="1846580" cy="295275"/>
                  </a:xfrm>
                  <a:prstGeom prst="rect">
                    <a:avLst/>
                  </a:prstGeom>
                  <a:ln>
                    <a:noFill/>
                  </a:ln>
                </pic:spPr>
              </pic:pic>
            </a:graphicData>
          </a:graphic>
        </wp:anchor>
      </w:drawing>
    </w:r>
    <w:r>
      <w:drawing>
        <wp:anchor distT="0" distB="0" distL="114300" distR="114300" simplePos="0" relativeHeight="251660288" behindDoc="0" locked="0" layoutInCell="1" allowOverlap="1">
          <wp:simplePos x="0" y="0"/>
          <wp:positionH relativeFrom="column">
            <wp:posOffset>-484505</wp:posOffset>
          </wp:positionH>
          <wp:positionV relativeFrom="paragraph">
            <wp:posOffset>-386715</wp:posOffset>
          </wp:positionV>
          <wp:extent cx="1567815" cy="473075"/>
          <wp:effectExtent l="0" t="0" r="13335" b="3175"/>
          <wp:wrapNone/>
          <wp:docPr id="3" name="图片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22"/>
                  <pic:cNvPicPr>
                    <a:picLocks noChangeAspect="1"/>
                  </pic:cNvPicPr>
                </pic:nvPicPr>
                <pic:blipFill>
                  <a:blip r:embed="rId2"/>
                  <a:stretch>
                    <a:fillRect/>
                  </a:stretch>
                </pic:blipFill>
                <pic:spPr>
                  <a:xfrm>
                    <a:off x="0" y="0"/>
                    <a:ext cx="1567815" cy="4730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437E0"/>
    <w:rsid w:val="00932C91"/>
    <w:rsid w:val="18C83571"/>
    <w:rsid w:val="23E32827"/>
    <w:rsid w:val="410E45EE"/>
    <w:rsid w:val="441A47CC"/>
    <w:rsid w:val="5DC46446"/>
    <w:rsid w:val="6C7437E0"/>
    <w:rsid w:val="70811602"/>
    <w:rsid w:val="F5FD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
    <w:name w:val="Normal Indent"/>
    <w:basedOn w:val="1"/>
    <w:next w:val="1"/>
    <w:qFormat/>
    <w:uiPriority w:val="0"/>
    <w:pPr>
      <w:ind w:firstLine="420" w:firstLineChars="200"/>
    </w:pPr>
  </w:style>
  <w:style w:type="paragraph" w:styleId="7">
    <w:name w:val="annotation text"/>
    <w:basedOn w:val="1"/>
    <w:semiHidden/>
    <w:qFormat/>
    <w:uiPriority w:val="0"/>
    <w:pPr>
      <w:jc w:val="left"/>
    </w:pPr>
    <w:rPr>
      <w:rFonts w:ascii="Times New Roman" w:hAnsi="Times New Roman"/>
      <w:szCs w:val="24"/>
    </w:rPr>
  </w:style>
  <w:style w:type="paragraph" w:styleId="8">
    <w:name w:val="Body Text"/>
    <w:basedOn w:val="1"/>
    <w:next w:val="9"/>
    <w:unhideWhenUsed/>
    <w:qFormat/>
    <w:uiPriority w:val="99"/>
    <w:pPr>
      <w:spacing w:before="100" w:beforeAutospacing="1" w:after="120"/>
    </w:pPr>
    <w:rPr>
      <w:rFonts w:ascii="Times New Roman" w:hAnsi="Times New Roman" w:eastAsia="宋体" w:cs="Times New Roman"/>
      <w:szCs w:val="21"/>
    </w:rPr>
  </w:style>
  <w:style w:type="paragraph" w:customStyle="1" w:styleId="9">
    <w:name w:val="style4"/>
    <w:basedOn w:val="1"/>
    <w:next w:val="10"/>
    <w:qFormat/>
    <w:uiPriority w:val="0"/>
    <w:pPr>
      <w:widowControl/>
      <w:spacing w:before="280" w:after="280" w:line="276" w:lineRule="auto"/>
      <w:ind w:firstLine="720" w:firstLineChars="200"/>
    </w:pPr>
    <w:rPr>
      <w:rFonts w:ascii="宋体"/>
      <w:sz w:val="18"/>
      <w:szCs w:val="20"/>
    </w:rPr>
  </w:style>
  <w:style w:type="paragraph" w:customStyle="1" w:styleId="10">
    <w:name w:val="2"/>
    <w:next w:val="1"/>
    <w:qFormat/>
    <w:uiPriority w:val="0"/>
    <w:pPr>
      <w:widowControl w:val="0"/>
      <w:jc w:val="both"/>
    </w:pPr>
    <w:rPr>
      <w:rFonts w:ascii="Calibri" w:hAnsi="Calibri" w:eastAsia="宋体" w:cs="Times New Roman"/>
      <w:sz w:val="21"/>
      <w:szCs w:val="22"/>
      <w:lang w:val="en-US" w:eastAsia="zh-CN" w:bidi="ar-SA"/>
    </w:rPr>
  </w:style>
  <w:style w:type="paragraph" w:styleId="11">
    <w:name w:val="Body Text Indent"/>
    <w:basedOn w:val="1"/>
    <w:next w:val="12"/>
    <w:unhideWhenUsed/>
    <w:qFormat/>
    <w:uiPriority w:val="99"/>
    <w:pPr>
      <w:ind w:firstLine="480"/>
    </w:pPr>
    <w:rPr>
      <w:rFonts w:ascii="宋体" w:hAnsi="宋体" w:eastAsia="宋体" w:cs="宋体"/>
      <w:sz w:val="28"/>
      <w:szCs w:val="28"/>
    </w:rPr>
  </w:style>
  <w:style w:type="paragraph" w:styleId="12">
    <w:name w:val="envelope return"/>
    <w:basedOn w:val="1"/>
    <w:qFormat/>
    <w:uiPriority w:val="0"/>
    <w:pPr>
      <w:snapToGrid w:val="0"/>
    </w:pPr>
    <w:rPr>
      <w:rFonts w:ascii="Arial" w:hAnsi="Arial"/>
    </w:rPr>
  </w:style>
  <w:style w:type="paragraph" w:styleId="13">
    <w:name w:val="Body Text Indent 2"/>
    <w:basedOn w:val="1"/>
    <w:qFormat/>
    <w:uiPriority w:val="0"/>
    <w:pPr>
      <w:spacing w:after="120" w:line="480" w:lineRule="auto"/>
      <w:ind w:left="420" w:leftChars="200"/>
    </w:pPr>
    <w:rPr>
      <w:rFonts w:ascii="Times New Roman" w:hAnsi="Times New Roman" w:eastAsia="宋体" w:cs="Times New Roman"/>
      <w:szCs w:val="24"/>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rPr>
      <w:szCs w:val="20"/>
    </w:rPr>
  </w:style>
  <w:style w:type="paragraph" w:styleId="17">
    <w:name w:val="List 4"/>
    <w:basedOn w:val="1"/>
    <w:qFormat/>
    <w:uiPriority w:val="0"/>
    <w:pPr>
      <w:ind w:left="100" w:leftChars="600" w:hanging="200" w:hangingChars="200"/>
    </w:pPr>
  </w:style>
  <w:style w:type="paragraph" w:styleId="18">
    <w:name w:val="Normal (Web)"/>
    <w:basedOn w:val="1"/>
    <w:uiPriority w:val="0"/>
    <w:rPr>
      <w:sz w:val="24"/>
    </w:rPr>
  </w:style>
  <w:style w:type="paragraph" w:styleId="19">
    <w:name w:val="Title"/>
    <w:basedOn w:val="1"/>
    <w:qFormat/>
    <w:uiPriority w:val="0"/>
    <w:pPr>
      <w:autoSpaceDE w:val="0"/>
      <w:autoSpaceDN w:val="0"/>
      <w:adjustRightInd w:val="0"/>
      <w:spacing w:before="240" w:after="60"/>
      <w:jc w:val="center"/>
      <w:outlineLvl w:val="0"/>
    </w:pPr>
    <w:rPr>
      <w:rFonts w:ascii="Arial" w:hAnsi="Arial"/>
      <w:b/>
      <w:kern w:val="0"/>
      <w:sz w:val="32"/>
      <w:szCs w:val="20"/>
    </w:rPr>
  </w:style>
  <w:style w:type="paragraph" w:styleId="20">
    <w:name w:val="Body Text First Indent"/>
    <w:basedOn w:val="8"/>
    <w:next w:val="21"/>
    <w:qFormat/>
    <w:uiPriority w:val="0"/>
    <w:pPr>
      <w:spacing w:after="120"/>
      <w:ind w:firstLine="420" w:firstLineChars="100"/>
    </w:pPr>
    <w:rPr>
      <w:sz w:val="21"/>
      <w:szCs w:val="24"/>
    </w:rPr>
  </w:style>
  <w:style w:type="paragraph" w:styleId="21">
    <w:name w:val="Body Text First Indent 2"/>
    <w:basedOn w:val="11"/>
    <w:next w:val="1"/>
    <w:qFormat/>
    <w:uiPriority w:val="0"/>
    <w:pPr>
      <w:adjustRightInd/>
      <w:snapToGrid/>
      <w:spacing w:after="120" w:line="240" w:lineRule="auto"/>
      <w:ind w:left="420" w:leftChars="200"/>
    </w:pPr>
  </w:style>
  <w:style w:type="table" w:styleId="2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page number"/>
    <w:basedOn w:val="24"/>
    <w:qFormat/>
    <w:uiPriority w:val="0"/>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表格（小四，宋体）"/>
    <w:basedOn w:val="1"/>
    <w:qFormat/>
    <w:uiPriority w:val="0"/>
    <w:pPr>
      <w:widowControl/>
      <w:contextualSpacing/>
      <w:jc w:val="left"/>
    </w:pPr>
    <w:rPr>
      <w:rFonts w:ascii="宋体" w:hAnsi="宋体"/>
      <w:kern w:val="0"/>
      <w:sz w:val="24"/>
      <w:szCs w:val="24"/>
    </w:rPr>
  </w:style>
  <w:style w:type="paragraph" w:customStyle="1" w:styleId="28">
    <w:name w:val="注解（小四，楷体）"/>
    <w:basedOn w:val="1"/>
    <w:qFormat/>
    <w:uiPriority w:val="0"/>
    <w:pPr>
      <w:widowControl/>
      <w:contextualSpacing/>
      <w:jc w:val="left"/>
    </w:pPr>
    <w:rPr>
      <w:rFonts w:ascii="楷体" w:hAnsi="楷体" w:eastAsia="楷体"/>
      <w:kern w:val="0"/>
      <w:sz w:val="24"/>
      <w:szCs w:val="24"/>
    </w:rPr>
  </w:style>
  <w:style w:type="paragraph" w:customStyle="1" w:styleId="29">
    <w:name w:val="NormalIndent"/>
    <w:basedOn w:val="1"/>
    <w:qFormat/>
    <w:uiPriority w:val="0"/>
    <w:pPr>
      <w:ind w:firstLine="420" w:firstLineChars="200"/>
      <w:jc w:val="both"/>
      <w:textAlignment w:val="baseline"/>
    </w:pPr>
    <w:rPr>
      <w:rFonts w:ascii="Times New Roman" w:hAnsi="Times New Roman" w:eastAsia="宋体"/>
      <w:kern w:val="2"/>
      <w:sz w:val="21"/>
      <w:szCs w:val="24"/>
      <w:lang w:val="en-US" w:eastAsia="zh-CN" w:bidi="ar-SA"/>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32">
    <w:name w:val="apple-converted-space"/>
    <w:basedOn w:val="24"/>
    <w:qFormat/>
    <w:uiPriority w:val="0"/>
  </w:style>
  <w:style w:type="character" w:customStyle="1" w:styleId="33">
    <w:name w:val="apple-style-span"/>
    <w:basedOn w:val="24"/>
    <w:qFormat/>
    <w:uiPriority w:val="0"/>
  </w:style>
  <w:style w:type="paragraph" w:customStyle="1" w:styleId="34">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1565</Words>
  <Characters>1680</Characters>
  <Lines>0</Lines>
  <Paragraphs>0</Paragraphs>
  <TotalTime>9</TotalTime>
  <ScaleCrop>false</ScaleCrop>
  <LinksUpToDate>false</LinksUpToDate>
  <CharactersWithSpaces>1690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2024-08-21T15:10:00Z</dcterms:created>
  <dc:creator>CPIC</dc:creator>
  <cp:lastModifiedBy>Henry Chow</cp:lastModifiedBy>
  <dcterms:modified xsi:type="dcterms:W3CDTF">2025-09-12T13:58:17Z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55CD9C37B5AE358F79B6C3686DEEF7C7_43</vt:lpwstr>
  </property>
</Properties>
</file>